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ห</w:t>
      </w:r>
      <w:r w:rsidRPr="00586D86">
        <w:rPr>
          <w:rFonts w:ascii="Tahoma" w:hAnsi="Tahoma" w:cs="Tahoma"/>
          <w:noProof/>
          <w:sz w:val="20"/>
          <w:szCs w:val="20"/>
        </w:rPr>
        <w:t>ามมิให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าของหรือผู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ครอบครองอาคารที่ต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องมีพื้นที่หรือสิ่งที่สร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างขึ้นเพื่อใช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าออกของรถตามที่ระบุไว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ในมาตรา 8 (9) ดัดแปลง 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หรือยินยอมให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บุคคลอื่นดัดแปลงหรือใช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าออกของรถนั้นเพื่อการอื่น ทั้งนี้ไม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าทั้งหมดหรือบางส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วน เว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นแต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 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ถือว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นภาระติดพันในอสังหาริมทรัพย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นั้นโดยตรงตราบที่อาคารนั้นยังมีอยู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 </w:t>
      </w:r>
      <w:r w:rsidRPr="00586D86">
        <w:rPr>
          <w:rFonts w:ascii="Tahoma" w:hAnsi="Tahoma" w:cs="Tahoma"/>
          <w:noProof/>
          <w:sz w:val="20"/>
          <w:szCs w:val="20"/>
        </w:rPr>
        <w:t>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าจะมีการโอนที่จอดรถ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าออกของรถนั้นต</w:t>
      </w:r>
      <w:r w:rsidRPr="00586D86">
        <w:rPr>
          <w:rFonts w:ascii="Tahoma" w:hAnsi="Tahoma" w:cs="Tahoma"/>
          <w:noProof/>
          <w:sz w:val="20"/>
          <w:szCs w:val="20"/>
        </w:rPr>
        <w:t>อไปยังบุคคลอื่นหรือไม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98923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7883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71830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4387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48411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6828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78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2765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0087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16135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5685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8799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F0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16782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34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07C2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07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07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722E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8841-E5A9-4FDD-BD38-A4104FCE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2015-10-07T09:13:00Z</cp:lastPrinted>
  <dcterms:created xsi:type="dcterms:W3CDTF">2015-10-07T09:14:00Z</dcterms:created>
  <dcterms:modified xsi:type="dcterms:W3CDTF">2015-10-07T09:14:00Z</dcterms:modified>
</cp:coreProperties>
</file>