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การขอรับบำเหน็จตกทอด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การจ่ายบำเหน็จตกทอด จ่ายเป็นจำนวน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เท่าของบำเหน็จรายเดือน หรือบำเหน็จพิเศษรายเดือน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 ตามหนังสือแสดงเจตนาฯ กรณีมากกว่า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คน ให้กำหนดส่วนให้ชัดเจน กรณีมิได้กำหนดส่วนให้ถือว่าทุกคนมีสิทธิได้รับในอัตราส่วนที่เท่ากัน ตามวิธีการในการแสดงเจตนาระบุตัวผู้รับบำเหน็จตกทอดลูกจ้างประจำของราชการส่วนท้องถิ่น ตามหนังสือกระทรวงมหาดไทย ที่ มท </w:t>
      </w:r>
      <w:r w:rsidRPr="00586D86">
        <w:rPr>
          <w:rFonts w:ascii="Tahoma" w:hAnsi="Tahoma" w:cs="Tahoma"/>
          <w:noProof/>
          <w:sz w:val="20"/>
          <w:szCs w:val="20"/>
        </w:rPr>
        <w:t>0808.5/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 </w:t>
      </w:r>
      <w:r w:rsidRPr="00586D86">
        <w:rPr>
          <w:rFonts w:ascii="Tahoma" w:hAnsi="Tahoma" w:cs="Tahoma"/>
          <w:noProof/>
          <w:sz w:val="20"/>
          <w:szCs w:val="20"/>
        </w:rPr>
        <w:t xml:space="preserve">4061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สิงหาคม </w:t>
      </w:r>
      <w:r w:rsidRPr="00586D86">
        <w:rPr>
          <w:rFonts w:ascii="Tahoma" w:hAnsi="Tahoma" w:cs="Tahoma"/>
          <w:noProof/>
          <w:sz w:val="20"/>
          <w:szCs w:val="20"/>
        </w:rPr>
        <w:t>2555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4 )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ทายาทหรือผู้มีสิทธิยื่นเรื่องขอรับบำเหน็จตกทอดพร้อม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เอกสารต่อองค์กรปกครองส่วนท้องถิ่นที่ลูกจ้างประจำรับบำเหน็จรายเดือนหรือบำเหน็จพิเศษรายเดือน และเจ้าหน้าที่ตรวจสอบความถูกต้องของเอกสารหลักฐาน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หน่วยงานรับผิดชอบ คือ งานบริหารงานบุคคล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 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นายกองค์กรปกครองส่วนท้องถิ่นหรือผู้ที่รับมอบอำนาจ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พิจารณาสั่งจ่ายเงินบำเหน็จตกทอด โดยองค์กรปกครองส่วนท้องถิ่นแจ้งและเบิกจ่ายเงิน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ดังกล่าวให้แก่ทายาทหรือผู้มีสิทธิฯ 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แบบคำขอรับบำเหน็จตกทอดลูกจ้างประจำ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E162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ขอรับแบบคำขอรับบำเหน็จตกทอดลูกจ้างประจำที่หน่วยงานต้นสังกัด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หนังสือแสดงเจตนาระบุตัวผู้รับบำเหน็จตกทอดลูกจ้างประจำของราชการส่วนท้องถิ่น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E162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38898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E162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327815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E162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22826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แบบคำขอรับบำเหน็จตกทอดลูกจ้างประจำ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 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การขอรับบำเหน็จตกทอด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การขอรับบำเหน็จตกทอด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1622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16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E16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16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E16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679CF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6C1B6-D096-431B-8F99-35437F6C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2015-10-07T08:37:00Z</cp:lastPrinted>
  <dcterms:created xsi:type="dcterms:W3CDTF">2015-10-07T08:38:00Z</dcterms:created>
  <dcterms:modified xsi:type="dcterms:W3CDTF">2015-10-07T08:38:00Z</dcterms:modified>
</cp:coreProperties>
</file>