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การรับชำระภาษีโรงเรือนและที่ดิน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พระราชบัญญัติภาษีโรงเรือนและที่ดิน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2475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 และที่ดินที่ใช้ต่อเนื่องกับโรงเรือนหรือสิ่งปลูกสร้างอย่างอื่นนั้น โดยมีหลักเกณฑ์ วิธีการ และเงื่อนไข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วิธีการชำระภาษี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.2)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 xml:space="preserve">.2)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ภายในเดือนกุมภาพันธ์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.8)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5.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เจ้าของทรัพย์สินชำระภาษีทันที 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เจ้าของทรัพย์สินดำเนินการชำระภาษีภายใน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นับแต่ได้รับแจ้งการประเมิน กรณีที่เจ้าของทรัพย์สินชำระภาษีเกินเวลาที่กำหนด จะต้องชำระเงินเพิ่มตามอัตราที่กฎหมายกำหนด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นับแต่ได้รับแจ้งการประเมิน โดยผู้บริหารท้องถิ่นชี้ขาดและแจ้งเจ้าของทรัพย์สินทราบภายใน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นับจากวันที่เจ้าของทรัพย์สินยื่นอุทธรณ์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.9)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11.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นับแต่ผู้รับบริการมายื่นคำขอ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งานพัฒนาและจัดเก็บรายได้ กองคลัง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นับจากวันที่ยื่นแบบแสดงรายการทรัพย์สิน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.2)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ตามพระราชบัญญัติวิธีปฏิบัติราชการทางปกครองฯ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งานพัฒนาและจัดเก็บรายได้ กองคลัง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B0A7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B0A7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9653963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หลักฐานแสดงกรรมสิทธิ์โรงเรือนและที่ดินพร้อมสำเนา เช่น โฉนดที่ดิน ใบอนุญาตปลูกสร้าง หนังสือสัญญาซื้อขาย หรือให้โรงเรือนฯ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B0A7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886788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หลักฐานการประกอบกิจการพร้อมสำเนา เช่น ใบทะเบียนการค้า ทะเบียนพาณิชย์ ทะเบียนภาษีมูลค่าเพิ่ม หรือใบอนุญาตประกอบกิจการค้าของฝ่ายสิ่งแวดล้อม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สัญญาเช่าอาคาร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B0A7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725972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และงบแสดงฐานะการเงิน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B0A7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094542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B0A7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1923032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2)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9)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พระราชบัญญัติภาษีโรงเรือนและที่ดิน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2475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B0A7E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5EDA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E737E-5183-47AB-AA97-D0C315387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4740</Characters>
  <Application>Microsoft Office Word</Application>
  <DocSecurity>0</DocSecurity>
  <Lines>39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2015-10-27T02:32:00Z</dcterms:created>
  <dcterms:modified xsi:type="dcterms:W3CDTF">2015-10-27T02:32:00Z</dcterms:modified>
</cp:coreProperties>
</file>